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5E402C" w14:textId="77777777" w:rsidR="002F4092" w:rsidRDefault="002F4092" w:rsidP="002F4092">
      <w:pPr>
        <w:pStyle w:val="NormalWeb"/>
      </w:pPr>
      <w:bookmarkStart w:id="0" w:name="_GoBack"/>
      <w:bookmarkEnd w:id="0"/>
      <w:r>
        <w:rPr>
          <w:rFonts w:ascii="MyriadPro" w:hAnsi="MyriadPro"/>
          <w:sz w:val="36"/>
          <w:szCs w:val="36"/>
        </w:rPr>
        <w:t xml:space="preserve">Colac &amp; District Cricket Association </w:t>
      </w:r>
    </w:p>
    <w:p w14:paraId="65D0AB01" w14:textId="77777777" w:rsidR="002F4092" w:rsidRDefault="002F4092" w:rsidP="002F4092">
      <w:pPr>
        <w:pStyle w:val="NormalWeb"/>
      </w:pPr>
      <w:r>
        <w:rPr>
          <w:rFonts w:ascii="MyriadPro" w:hAnsi="MyriadPro"/>
          <w:b/>
          <w:bCs/>
          <w:sz w:val="48"/>
          <w:szCs w:val="48"/>
        </w:rPr>
        <w:t xml:space="preserve">TRIBUNAL PROCEDURE POLICY </w:t>
      </w:r>
    </w:p>
    <w:tbl>
      <w:tblPr>
        <w:tblStyle w:val="TableGrid"/>
        <w:tblW w:w="0" w:type="auto"/>
        <w:tblLook w:val="04A0" w:firstRow="1" w:lastRow="0" w:firstColumn="1" w:lastColumn="0" w:noHBand="0" w:noVBand="1"/>
      </w:tblPr>
      <w:tblGrid>
        <w:gridCol w:w="9010"/>
      </w:tblGrid>
      <w:tr w:rsidR="002F4092" w14:paraId="725E4E7D" w14:textId="77777777" w:rsidTr="002F4092">
        <w:tc>
          <w:tcPr>
            <w:tcW w:w="9010" w:type="dxa"/>
            <w:shd w:val="clear" w:color="auto" w:fill="000000" w:themeFill="text1"/>
          </w:tcPr>
          <w:p w14:paraId="113D2919" w14:textId="77777777" w:rsidR="002F4092" w:rsidRDefault="002F4092" w:rsidP="002F4092">
            <w:pPr>
              <w:pStyle w:val="NormalWeb"/>
            </w:pPr>
            <w:r>
              <w:t>SUMMARY</w:t>
            </w:r>
          </w:p>
        </w:tc>
      </w:tr>
    </w:tbl>
    <w:p w14:paraId="26F60A45" w14:textId="77777777" w:rsidR="002F4092" w:rsidRDefault="002F4092" w:rsidP="002F4092">
      <w:pPr>
        <w:pStyle w:val="NormalWeb"/>
      </w:pPr>
    </w:p>
    <w:p w14:paraId="47F4D275" w14:textId="77777777" w:rsidR="002F4092" w:rsidRDefault="002F4092" w:rsidP="002F4092">
      <w:pPr>
        <w:pStyle w:val="NormalWeb"/>
      </w:pPr>
      <w:r>
        <w:rPr>
          <w:rFonts w:ascii="MyriadPro" w:hAnsi="MyriadPro"/>
        </w:rPr>
        <w:t>It is the duty of the Board of the Association to assist the Independent Tribunal to arrange the place and time of meeting, the appearance of the person(s) or club(</w:t>
      </w:r>
      <w:proofErr w:type="spellStart"/>
      <w:r>
        <w:rPr>
          <w:rFonts w:ascii="MyriadPro" w:hAnsi="MyriadPro"/>
        </w:rPr>
        <w:t>s</w:t>
      </w:r>
      <w:proofErr w:type="spellEnd"/>
      <w:r>
        <w:rPr>
          <w:rFonts w:ascii="MyriadPro" w:hAnsi="MyriadPro"/>
        </w:rPr>
        <w:t xml:space="preserve">) connected with the report or appeal to be dealt with and to ensure that all the relevant paper work is in the hands of the tribunal prior to the commencement of business. </w:t>
      </w:r>
    </w:p>
    <w:p w14:paraId="163AA0BB" w14:textId="77777777" w:rsidR="002F4092" w:rsidRDefault="002F4092" w:rsidP="002F4092">
      <w:pPr>
        <w:pStyle w:val="NormalWeb"/>
      </w:pPr>
      <w:r>
        <w:rPr>
          <w:rFonts w:ascii="MyriadPro" w:hAnsi="MyriadPro"/>
        </w:rPr>
        <w:t xml:space="preserve">Clubs and/or players appearing before the Independent Tribunal shall be entitled to an advocate if they so desire. Advocates may be members of the Association clubs but shall </w:t>
      </w:r>
      <w:r>
        <w:rPr>
          <w:rFonts w:ascii="MyriadPro" w:hAnsi="MyriadPro"/>
          <w:b/>
          <w:bCs/>
        </w:rPr>
        <w:t xml:space="preserve">not </w:t>
      </w:r>
      <w:r>
        <w:rPr>
          <w:rFonts w:ascii="MyriadPro" w:hAnsi="MyriadPro"/>
        </w:rPr>
        <w:t xml:space="preserve">be members of the legal profession. Witnesses may also be called when necessary. They shall be excluded from the tribunal room while the evidence-in-chief is being given and once called to give evidence shall remain in the room until the case is finished. Persons giving evidence before the tribunal may be questioned by their own and opposing advocates through the chairman of the Independent Tribunal. Members of the tribunal are empowered to question witnesses at any time. </w:t>
      </w:r>
    </w:p>
    <w:p w14:paraId="6234F1AF" w14:textId="77777777" w:rsidR="002F4092" w:rsidRDefault="002F4092" w:rsidP="002F4092">
      <w:pPr>
        <w:pStyle w:val="NormalWeb"/>
      </w:pPr>
      <w:r>
        <w:rPr>
          <w:rFonts w:ascii="MyriadPro" w:hAnsi="MyriadPro"/>
        </w:rPr>
        <w:t xml:space="preserve">Media representatives shall be allowed to sit in any tribunal provided they agree that their presence will not create any adverse effects on the smooth running of the cases being heard. </w:t>
      </w:r>
    </w:p>
    <w:tbl>
      <w:tblPr>
        <w:tblStyle w:val="TableGrid"/>
        <w:tblW w:w="0" w:type="auto"/>
        <w:tblLook w:val="04A0" w:firstRow="1" w:lastRow="0" w:firstColumn="1" w:lastColumn="0" w:noHBand="0" w:noVBand="1"/>
      </w:tblPr>
      <w:tblGrid>
        <w:gridCol w:w="9010"/>
      </w:tblGrid>
      <w:tr w:rsidR="002F4092" w14:paraId="494AC9E4" w14:textId="77777777" w:rsidTr="002F4092">
        <w:tc>
          <w:tcPr>
            <w:tcW w:w="9010" w:type="dxa"/>
            <w:shd w:val="clear" w:color="auto" w:fill="000000" w:themeFill="text1"/>
          </w:tcPr>
          <w:p w14:paraId="2428B8EB" w14:textId="77777777" w:rsidR="002F4092" w:rsidRDefault="002F4092" w:rsidP="002F4092">
            <w:pPr>
              <w:pStyle w:val="NormalWeb"/>
              <w:rPr>
                <w:rFonts w:ascii="MyriadPro" w:hAnsi="MyriadPro"/>
              </w:rPr>
            </w:pPr>
            <w:r>
              <w:rPr>
                <w:rFonts w:ascii="MyriadPro" w:hAnsi="MyriadPro"/>
              </w:rPr>
              <w:t>POLICY</w:t>
            </w:r>
          </w:p>
        </w:tc>
      </w:tr>
    </w:tbl>
    <w:p w14:paraId="55300459" w14:textId="77777777" w:rsidR="002F4092" w:rsidRDefault="002F4092" w:rsidP="002F4092">
      <w:pPr>
        <w:pStyle w:val="NormalWeb"/>
      </w:pPr>
      <w:r>
        <w:rPr>
          <w:rFonts w:ascii="MyriadPro" w:hAnsi="MyriadPro"/>
        </w:rPr>
        <w:t xml:space="preserve">Upon assembly and after the Tribunal has elected a Chairman, all clubs or persons having business before the tribunal shall be summoned to appear. </w:t>
      </w:r>
    </w:p>
    <w:p w14:paraId="2E239FFA" w14:textId="77777777" w:rsidR="002F4092" w:rsidRDefault="002F4092" w:rsidP="002F4092">
      <w:pPr>
        <w:pStyle w:val="NormalWeb"/>
      </w:pPr>
      <w:r>
        <w:rPr>
          <w:rFonts w:ascii="MyriadPro" w:hAnsi="MyriadPro"/>
          <w:b/>
          <w:bCs/>
        </w:rPr>
        <w:t xml:space="preserve">1. </w:t>
      </w:r>
      <w:r>
        <w:rPr>
          <w:rFonts w:ascii="MyriadPro" w:hAnsi="MyriadPro"/>
        </w:rPr>
        <w:t xml:space="preserve">Opening address by Chairman, including the announcement of the charges and the procedure to be followed. </w:t>
      </w:r>
    </w:p>
    <w:p w14:paraId="094A943D" w14:textId="77777777" w:rsidR="00AB7DC2" w:rsidRDefault="002F4092" w:rsidP="002F4092">
      <w:pPr>
        <w:pStyle w:val="NormalWeb"/>
        <w:rPr>
          <w:rFonts w:ascii="MyriadPro" w:hAnsi="MyriadPro"/>
        </w:rPr>
      </w:pPr>
      <w:r>
        <w:rPr>
          <w:rFonts w:ascii="MyriadPro" w:hAnsi="MyriadPro"/>
          <w:b/>
          <w:bCs/>
        </w:rPr>
        <w:t xml:space="preserve">2. </w:t>
      </w:r>
      <w:r>
        <w:rPr>
          <w:rFonts w:ascii="MyriadPro" w:hAnsi="MyriadPro"/>
        </w:rPr>
        <w:t>Reading of the charges.</w:t>
      </w:r>
      <w:r>
        <w:rPr>
          <w:rFonts w:ascii="MyriadPro" w:hAnsi="MyriadPro"/>
        </w:rPr>
        <w:br/>
      </w:r>
      <w:r>
        <w:rPr>
          <w:rFonts w:ascii="MyriadPro" w:hAnsi="MyriadPro"/>
          <w:b/>
          <w:bCs/>
        </w:rPr>
        <w:t xml:space="preserve">3. </w:t>
      </w:r>
      <w:r>
        <w:rPr>
          <w:rFonts w:ascii="MyriadPro" w:hAnsi="MyriadPro"/>
        </w:rPr>
        <w:t xml:space="preserve">Chairman requests a plea from the reported person(s). </w:t>
      </w:r>
    </w:p>
    <w:p w14:paraId="27BD04E6" w14:textId="0D25957F" w:rsidR="002F4092" w:rsidRDefault="002F4092" w:rsidP="002F4092">
      <w:pPr>
        <w:pStyle w:val="NormalWeb"/>
      </w:pPr>
      <w:r>
        <w:rPr>
          <w:rFonts w:ascii="MyriadPro" w:hAnsi="MyriadPro"/>
          <w:b/>
          <w:bCs/>
        </w:rPr>
        <w:t xml:space="preserve">4. </w:t>
      </w:r>
      <w:r>
        <w:rPr>
          <w:rFonts w:ascii="MyriadPro" w:hAnsi="MyriadPro"/>
        </w:rPr>
        <w:t xml:space="preserve">Evidence/submissions (may be in writing) from: </w:t>
      </w:r>
    </w:p>
    <w:p w14:paraId="1971C58C" w14:textId="77777777" w:rsidR="002F4092" w:rsidRDefault="002F4092" w:rsidP="00AB7DC2">
      <w:pPr>
        <w:pStyle w:val="NormalWeb"/>
        <w:ind w:firstLine="720"/>
      </w:pPr>
      <w:r>
        <w:rPr>
          <w:rFonts w:ascii="MyriadPro" w:hAnsi="MyriadPro"/>
        </w:rPr>
        <w:t>(</w:t>
      </w:r>
      <w:proofErr w:type="spellStart"/>
      <w:r>
        <w:rPr>
          <w:rFonts w:ascii="MyriadPro" w:hAnsi="MyriadPro"/>
        </w:rPr>
        <w:t>a</w:t>
      </w:r>
      <w:proofErr w:type="spellEnd"/>
      <w:r>
        <w:rPr>
          <w:rFonts w:ascii="MyriadPro" w:hAnsi="MyriadPro"/>
        </w:rPr>
        <w:t xml:space="preserve">) the Umpires(s) </w:t>
      </w:r>
    </w:p>
    <w:p w14:paraId="3CB4451B" w14:textId="77777777" w:rsidR="002F4092" w:rsidRDefault="002F4092" w:rsidP="00AB7DC2">
      <w:pPr>
        <w:pStyle w:val="NormalWeb"/>
        <w:ind w:firstLine="720"/>
      </w:pPr>
      <w:r>
        <w:rPr>
          <w:rFonts w:ascii="MyriadPro" w:hAnsi="MyriadPro"/>
        </w:rPr>
        <w:t xml:space="preserve">(b) any other person(s) in attendance to give evidence </w:t>
      </w:r>
    </w:p>
    <w:p w14:paraId="6ACBEDF4" w14:textId="77777777" w:rsidR="002F4092" w:rsidRDefault="002F4092" w:rsidP="00AB7DC2">
      <w:pPr>
        <w:pStyle w:val="NormalWeb"/>
        <w:ind w:firstLine="720"/>
      </w:pPr>
      <w:r>
        <w:rPr>
          <w:rFonts w:ascii="MyriadPro" w:hAnsi="MyriadPro"/>
        </w:rPr>
        <w:t xml:space="preserve">(c) the reported person(s) </w:t>
      </w:r>
    </w:p>
    <w:p w14:paraId="2C749EFB" w14:textId="77777777" w:rsidR="002F4092" w:rsidRDefault="002F4092" w:rsidP="00AB7DC2">
      <w:pPr>
        <w:pStyle w:val="NormalWeb"/>
        <w:ind w:firstLine="720"/>
      </w:pPr>
      <w:r>
        <w:rPr>
          <w:rFonts w:ascii="MyriadPro" w:hAnsi="MyriadPro"/>
        </w:rPr>
        <w:t xml:space="preserve">(d) his witness, if any </w:t>
      </w:r>
    </w:p>
    <w:p w14:paraId="1103C80C" w14:textId="77777777" w:rsidR="002F4092" w:rsidRDefault="002F4092" w:rsidP="002F4092">
      <w:pPr>
        <w:pStyle w:val="NormalWeb"/>
      </w:pPr>
      <w:r>
        <w:rPr>
          <w:rFonts w:ascii="MyriadPro" w:hAnsi="MyriadPro"/>
        </w:rPr>
        <w:t xml:space="preserve">Those giving evidence shall be subject to questioning by any member of the Tribunal. Similarly, the reported person(s) may ask questions of the Umpire(s) and vice-versa. </w:t>
      </w:r>
    </w:p>
    <w:p w14:paraId="591E2510" w14:textId="77777777" w:rsidR="002F4092" w:rsidRPr="002F4092" w:rsidRDefault="002F4092" w:rsidP="002F4092">
      <w:pPr>
        <w:pStyle w:val="NormalWeb"/>
        <w:numPr>
          <w:ilvl w:val="0"/>
          <w:numId w:val="2"/>
        </w:numPr>
        <w:rPr>
          <w:rFonts w:ascii="MyriadPro" w:hAnsi="MyriadPro"/>
          <w:bCs/>
        </w:rPr>
      </w:pPr>
      <w:r w:rsidRPr="002F4092">
        <w:rPr>
          <w:rFonts w:ascii="MyriadPro" w:hAnsi="MyriadPro"/>
          <w:bCs/>
        </w:rPr>
        <w:lastRenderedPageBreak/>
        <w:t xml:space="preserve">After all evidence, submissions and questioning has concluded, all except the Tribunal members shall leave the room whilst the Tribunal deliberates upon its decision. </w:t>
      </w:r>
    </w:p>
    <w:p w14:paraId="7480B332" w14:textId="77777777" w:rsidR="002F4092" w:rsidRPr="002F4092" w:rsidRDefault="002F4092" w:rsidP="002F4092">
      <w:pPr>
        <w:pStyle w:val="NormalWeb"/>
        <w:numPr>
          <w:ilvl w:val="0"/>
          <w:numId w:val="2"/>
        </w:numPr>
        <w:rPr>
          <w:rFonts w:ascii="MyriadPro" w:hAnsi="MyriadPro"/>
          <w:bCs/>
        </w:rPr>
      </w:pPr>
      <w:r w:rsidRPr="002F4092">
        <w:rPr>
          <w:rFonts w:ascii="MyriadPro" w:hAnsi="MyriadPro"/>
          <w:bCs/>
        </w:rPr>
        <w:t xml:space="preserve">Announcement of decision - guilty or not guilty. If not guilty, the hearing is concluded </w:t>
      </w:r>
    </w:p>
    <w:p w14:paraId="086783F2" w14:textId="77777777" w:rsidR="002F4092" w:rsidRPr="002F4092" w:rsidRDefault="002F4092" w:rsidP="002F4092">
      <w:pPr>
        <w:pStyle w:val="NormalWeb"/>
        <w:numPr>
          <w:ilvl w:val="1"/>
          <w:numId w:val="2"/>
        </w:numPr>
        <w:rPr>
          <w:rFonts w:ascii="MyriadPro" w:hAnsi="MyriadPro"/>
          <w:bCs/>
        </w:rPr>
      </w:pPr>
      <w:r w:rsidRPr="002F4092">
        <w:rPr>
          <w:rFonts w:ascii="MyriadPro" w:hAnsi="MyriadPro"/>
          <w:bCs/>
        </w:rPr>
        <w:t xml:space="preserve">If guilty, prior to the announcement of the penalty, the Chairman asks if any person has anything further to add in relation to the penalty. </w:t>
      </w:r>
    </w:p>
    <w:p w14:paraId="063D9B48" w14:textId="77777777" w:rsidR="002F4092" w:rsidRPr="002F4092" w:rsidRDefault="002F4092" w:rsidP="002F4092">
      <w:pPr>
        <w:pStyle w:val="NormalWeb"/>
        <w:numPr>
          <w:ilvl w:val="1"/>
          <w:numId w:val="2"/>
        </w:numPr>
        <w:rPr>
          <w:rFonts w:ascii="MyriadPro" w:hAnsi="MyriadPro"/>
          <w:bCs/>
        </w:rPr>
      </w:pPr>
      <w:r w:rsidRPr="002F4092">
        <w:rPr>
          <w:rFonts w:ascii="MyriadPro" w:hAnsi="MyriadPro"/>
          <w:bCs/>
        </w:rPr>
        <w:t xml:space="preserve">IF NO - Go to 9 IF YES - Go to 7 </w:t>
      </w:r>
    </w:p>
    <w:p w14:paraId="047ACDC3" w14:textId="77777777" w:rsidR="002F4092" w:rsidRPr="002F4092" w:rsidRDefault="002F4092" w:rsidP="002F4092">
      <w:pPr>
        <w:pStyle w:val="NormalWeb"/>
        <w:numPr>
          <w:ilvl w:val="0"/>
          <w:numId w:val="2"/>
        </w:numPr>
        <w:rPr>
          <w:rFonts w:ascii="MyriadPro" w:hAnsi="MyriadPro"/>
          <w:bCs/>
        </w:rPr>
      </w:pPr>
      <w:r w:rsidRPr="002F4092">
        <w:rPr>
          <w:rFonts w:ascii="MyriadPro" w:hAnsi="MyriadPro"/>
          <w:bCs/>
        </w:rPr>
        <w:t xml:space="preserve">The additional information/please/character evidence is heard. </w:t>
      </w:r>
    </w:p>
    <w:p w14:paraId="76345295" w14:textId="77777777" w:rsidR="002F4092" w:rsidRPr="002F4092" w:rsidRDefault="002F4092" w:rsidP="002F4092">
      <w:pPr>
        <w:pStyle w:val="NormalWeb"/>
        <w:numPr>
          <w:ilvl w:val="0"/>
          <w:numId w:val="2"/>
        </w:numPr>
        <w:rPr>
          <w:rFonts w:ascii="MyriadPro" w:hAnsi="MyriadPro"/>
          <w:bCs/>
        </w:rPr>
      </w:pPr>
      <w:r w:rsidRPr="002F4092">
        <w:rPr>
          <w:rFonts w:ascii="MyriadPro" w:hAnsi="MyriadPro"/>
          <w:bCs/>
        </w:rPr>
        <w:t xml:space="preserve">All persons again leave the room whilst the Tribunal deliberates upon a decision regarding the penalty. </w:t>
      </w:r>
    </w:p>
    <w:p w14:paraId="5051066E" w14:textId="77777777" w:rsidR="002F4092" w:rsidRDefault="002F4092" w:rsidP="002F4092">
      <w:pPr>
        <w:pStyle w:val="NormalWeb"/>
        <w:numPr>
          <w:ilvl w:val="0"/>
          <w:numId w:val="2"/>
        </w:numPr>
        <w:rPr>
          <w:rFonts w:ascii="MyriadPro" w:hAnsi="MyriadPro"/>
          <w:bCs/>
        </w:rPr>
      </w:pPr>
      <w:r w:rsidRPr="002F4092">
        <w:rPr>
          <w:rFonts w:ascii="MyriadPro" w:hAnsi="MyriadPro"/>
          <w:bCs/>
        </w:rPr>
        <w:t>Sentence/penalty advised, along with the reason(</w:t>
      </w:r>
      <w:proofErr w:type="spellStart"/>
      <w:r w:rsidRPr="002F4092">
        <w:rPr>
          <w:rFonts w:ascii="MyriadPro" w:hAnsi="MyriadPro"/>
          <w:bCs/>
        </w:rPr>
        <w:t>s</w:t>
      </w:r>
      <w:proofErr w:type="spellEnd"/>
      <w:r w:rsidRPr="002F4092">
        <w:rPr>
          <w:rFonts w:ascii="MyriadPro" w:hAnsi="MyriadPro"/>
          <w:bCs/>
        </w:rPr>
        <w:t xml:space="preserve">) given as to how the penalty was reached. </w:t>
      </w:r>
    </w:p>
    <w:p w14:paraId="1024417E" w14:textId="02E4CAAF" w:rsidR="002A2F98" w:rsidRPr="002F4092" w:rsidRDefault="000530CA" w:rsidP="002F4092">
      <w:pPr>
        <w:pStyle w:val="NormalWeb"/>
        <w:numPr>
          <w:ilvl w:val="0"/>
          <w:numId w:val="2"/>
        </w:numPr>
        <w:rPr>
          <w:rFonts w:ascii="MyriadPro" w:hAnsi="MyriadPro"/>
          <w:bCs/>
        </w:rPr>
      </w:pPr>
      <w:r>
        <w:rPr>
          <w:rFonts w:ascii="MyriadPro" w:hAnsi="MyriadPro"/>
          <w:bCs/>
        </w:rPr>
        <w:t>Delivery of Tribunal Document for signing</w:t>
      </w:r>
    </w:p>
    <w:p w14:paraId="4F707DCE" w14:textId="77777777" w:rsidR="00232BF8" w:rsidRDefault="003F1283"/>
    <w:sectPr w:rsidR="00232BF8" w:rsidSect="0039390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MyriadPro">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FA07E6"/>
    <w:multiLevelType w:val="multilevel"/>
    <w:tmpl w:val="4A3C49A8"/>
    <w:lvl w:ilvl="0">
      <w:start w:val="5"/>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ADF1F5E"/>
    <w:multiLevelType w:val="multilevel"/>
    <w:tmpl w:val="24F0627C"/>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092"/>
    <w:rsid w:val="000530CA"/>
    <w:rsid w:val="002A2F98"/>
    <w:rsid w:val="002F4092"/>
    <w:rsid w:val="0039390B"/>
    <w:rsid w:val="003F1283"/>
    <w:rsid w:val="00676C03"/>
    <w:rsid w:val="00AB7DC2"/>
    <w:rsid w:val="00C034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DE6A49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F4092"/>
    <w:pPr>
      <w:spacing w:before="100" w:beforeAutospacing="1" w:after="100" w:afterAutospacing="1"/>
    </w:pPr>
    <w:rPr>
      <w:rFonts w:ascii="Times New Roman" w:hAnsi="Times New Roman" w:cs="Times New Roman"/>
    </w:rPr>
  </w:style>
  <w:style w:type="table" w:styleId="TableGrid">
    <w:name w:val="Table Grid"/>
    <w:basedOn w:val="TableNormal"/>
    <w:uiPriority w:val="39"/>
    <w:rsid w:val="002F40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504304">
      <w:bodyDiv w:val="1"/>
      <w:marLeft w:val="0"/>
      <w:marRight w:val="0"/>
      <w:marTop w:val="0"/>
      <w:marBottom w:val="0"/>
      <w:divBdr>
        <w:top w:val="none" w:sz="0" w:space="0" w:color="auto"/>
        <w:left w:val="none" w:sz="0" w:space="0" w:color="auto"/>
        <w:bottom w:val="none" w:sz="0" w:space="0" w:color="auto"/>
        <w:right w:val="none" w:sz="0" w:space="0" w:color="auto"/>
      </w:divBdr>
      <w:divsChild>
        <w:div w:id="55471565">
          <w:marLeft w:val="0"/>
          <w:marRight w:val="0"/>
          <w:marTop w:val="0"/>
          <w:marBottom w:val="0"/>
          <w:divBdr>
            <w:top w:val="none" w:sz="0" w:space="0" w:color="auto"/>
            <w:left w:val="none" w:sz="0" w:space="0" w:color="auto"/>
            <w:bottom w:val="none" w:sz="0" w:space="0" w:color="auto"/>
            <w:right w:val="none" w:sz="0" w:space="0" w:color="auto"/>
          </w:divBdr>
          <w:divsChild>
            <w:div w:id="1937473220">
              <w:marLeft w:val="0"/>
              <w:marRight w:val="0"/>
              <w:marTop w:val="0"/>
              <w:marBottom w:val="0"/>
              <w:divBdr>
                <w:top w:val="none" w:sz="0" w:space="0" w:color="auto"/>
                <w:left w:val="none" w:sz="0" w:space="0" w:color="auto"/>
                <w:bottom w:val="none" w:sz="0" w:space="0" w:color="auto"/>
                <w:right w:val="none" w:sz="0" w:space="0" w:color="auto"/>
              </w:divBdr>
              <w:divsChild>
                <w:div w:id="915744954">
                  <w:marLeft w:val="0"/>
                  <w:marRight w:val="0"/>
                  <w:marTop w:val="0"/>
                  <w:marBottom w:val="0"/>
                  <w:divBdr>
                    <w:top w:val="none" w:sz="0" w:space="0" w:color="auto"/>
                    <w:left w:val="none" w:sz="0" w:space="0" w:color="auto"/>
                    <w:bottom w:val="none" w:sz="0" w:space="0" w:color="auto"/>
                    <w:right w:val="none" w:sz="0" w:space="0" w:color="auto"/>
                  </w:divBdr>
                </w:div>
              </w:divsChild>
            </w:div>
            <w:div w:id="506872788">
              <w:marLeft w:val="0"/>
              <w:marRight w:val="0"/>
              <w:marTop w:val="0"/>
              <w:marBottom w:val="0"/>
              <w:divBdr>
                <w:top w:val="none" w:sz="0" w:space="0" w:color="auto"/>
                <w:left w:val="none" w:sz="0" w:space="0" w:color="auto"/>
                <w:bottom w:val="none" w:sz="0" w:space="0" w:color="auto"/>
                <w:right w:val="none" w:sz="0" w:space="0" w:color="auto"/>
              </w:divBdr>
              <w:divsChild>
                <w:div w:id="1238637531">
                  <w:marLeft w:val="0"/>
                  <w:marRight w:val="0"/>
                  <w:marTop w:val="0"/>
                  <w:marBottom w:val="0"/>
                  <w:divBdr>
                    <w:top w:val="none" w:sz="0" w:space="0" w:color="auto"/>
                    <w:left w:val="none" w:sz="0" w:space="0" w:color="auto"/>
                    <w:bottom w:val="none" w:sz="0" w:space="0" w:color="auto"/>
                    <w:right w:val="none" w:sz="0" w:space="0" w:color="auto"/>
                  </w:divBdr>
                </w:div>
              </w:divsChild>
            </w:div>
            <w:div w:id="2010012428">
              <w:marLeft w:val="0"/>
              <w:marRight w:val="0"/>
              <w:marTop w:val="0"/>
              <w:marBottom w:val="0"/>
              <w:divBdr>
                <w:top w:val="none" w:sz="0" w:space="0" w:color="auto"/>
                <w:left w:val="none" w:sz="0" w:space="0" w:color="auto"/>
                <w:bottom w:val="none" w:sz="0" w:space="0" w:color="auto"/>
                <w:right w:val="none" w:sz="0" w:space="0" w:color="auto"/>
              </w:divBdr>
              <w:divsChild>
                <w:div w:id="1011907405">
                  <w:marLeft w:val="0"/>
                  <w:marRight w:val="0"/>
                  <w:marTop w:val="0"/>
                  <w:marBottom w:val="0"/>
                  <w:divBdr>
                    <w:top w:val="none" w:sz="0" w:space="0" w:color="auto"/>
                    <w:left w:val="none" w:sz="0" w:space="0" w:color="auto"/>
                    <w:bottom w:val="none" w:sz="0" w:space="0" w:color="auto"/>
                    <w:right w:val="none" w:sz="0" w:space="0" w:color="auto"/>
                  </w:divBdr>
                </w:div>
              </w:divsChild>
            </w:div>
            <w:div w:id="210001293">
              <w:marLeft w:val="0"/>
              <w:marRight w:val="0"/>
              <w:marTop w:val="0"/>
              <w:marBottom w:val="0"/>
              <w:divBdr>
                <w:top w:val="none" w:sz="0" w:space="0" w:color="auto"/>
                <w:left w:val="none" w:sz="0" w:space="0" w:color="auto"/>
                <w:bottom w:val="none" w:sz="0" w:space="0" w:color="auto"/>
                <w:right w:val="none" w:sz="0" w:space="0" w:color="auto"/>
              </w:divBdr>
              <w:divsChild>
                <w:div w:id="1925068994">
                  <w:marLeft w:val="0"/>
                  <w:marRight w:val="0"/>
                  <w:marTop w:val="0"/>
                  <w:marBottom w:val="0"/>
                  <w:divBdr>
                    <w:top w:val="none" w:sz="0" w:space="0" w:color="auto"/>
                    <w:left w:val="none" w:sz="0" w:space="0" w:color="auto"/>
                    <w:bottom w:val="none" w:sz="0" w:space="0" w:color="auto"/>
                    <w:right w:val="none" w:sz="0" w:space="0" w:color="auto"/>
                  </w:divBdr>
                </w:div>
              </w:divsChild>
            </w:div>
            <w:div w:id="978456610">
              <w:marLeft w:val="0"/>
              <w:marRight w:val="0"/>
              <w:marTop w:val="0"/>
              <w:marBottom w:val="0"/>
              <w:divBdr>
                <w:top w:val="none" w:sz="0" w:space="0" w:color="auto"/>
                <w:left w:val="none" w:sz="0" w:space="0" w:color="auto"/>
                <w:bottom w:val="none" w:sz="0" w:space="0" w:color="auto"/>
                <w:right w:val="none" w:sz="0" w:space="0" w:color="auto"/>
              </w:divBdr>
              <w:divsChild>
                <w:div w:id="367098814">
                  <w:marLeft w:val="0"/>
                  <w:marRight w:val="0"/>
                  <w:marTop w:val="0"/>
                  <w:marBottom w:val="0"/>
                  <w:divBdr>
                    <w:top w:val="none" w:sz="0" w:space="0" w:color="auto"/>
                    <w:left w:val="none" w:sz="0" w:space="0" w:color="auto"/>
                    <w:bottom w:val="none" w:sz="0" w:space="0" w:color="auto"/>
                    <w:right w:val="none" w:sz="0" w:space="0" w:color="auto"/>
                  </w:divBdr>
                </w:div>
                <w:div w:id="163941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22280">
          <w:marLeft w:val="0"/>
          <w:marRight w:val="0"/>
          <w:marTop w:val="0"/>
          <w:marBottom w:val="0"/>
          <w:divBdr>
            <w:top w:val="none" w:sz="0" w:space="0" w:color="auto"/>
            <w:left w:val="none" w:sz="0" w:space="0" w:color="auto"/>
            <w:bottom w:val="none" w:sz="0" w:space="0" w:color="auto"/>
            <w:right w:val="none" w:sz="0" w:space="0" w:color="auto"/>
          </w:divBdr>
          <w:divsChild>
            <w:div w:id="1043092833">
              <w:marLeft w:val="0"/>
              <w:marRight w:val="0"/>
              <w:marTop w:val="0"/>
              <w:marBottom w:val="0"/>
              <w:divBdr>
                <w:top w:val="none" w:sz="0" w:space="0" w:color="auto"/>
                <w:left w:val="none" w:sz="0" w:space="0" w:color="auto"/>
                <w:bottom w:val="none" w:sz="0" w:space="0" w:color="auto"/>
                <w:right w:val="none" w:sz="0" w:space="0" w:color="auto"/>
              </w:divBdr>
              <w:divsChild>
                <w:div w:id="157458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402</Words>
  <Characters>2296</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Treweek</dc:creator>
  <cp:keywords/>
  <dc:description/>
  <cp:lastModifiedBy>David Treweek</cp:lastModifiedBy>
  <cp:revision>2</cp:revision>
  <dcterms:created xsi:type="dcterms:W3CDTF">2020-02-16T09:43:00Z</dcterms:created>
  <dcterms:modified xsi:type="dcterms:W3CDTF">2020-02-16T09:43:00Z</dcterms:modified>
</cp:coreProperties>
</file>